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2A6C52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8101B9" w:rsidRDefault="00430C58" w:rsidP="005D31E6">
            <w:pPr>
              <w:pStyle w:val="Default"/>
              <w:rPr>
                <w:b/>
                <w:bCs/>
                <w:color w:val="0066FF"/>
                <w:sz w:val="22"/>
                <w:szCs w:val="36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5D31E6">
              <w:rPr>
                <w:rFonts w:hint="eastAsia"/>
                <w:b/>
                <w:bCs/>
                <w:color w:val="0066FF"/>
                <w:sz w:val="22"/>
                <w:szCs w:val="36"/>
              </w:rPr>
              <w:t>Human Connective Tissue Growth Factor</w:t>
            </w:r>
            <w:r w:rsidR="00A115BA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proofErr w:type="spellStart"/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r</w:t>
            </w:r>
            <w:r w:rsidR="005D31E6">
              <w:rPr>
                <w:rFonts w:hint="eastAsia"/>
                <w:b/>
                <w:bCs/>
                <w:color w:val="0066FF"/>
                <w:sz w:val="22"/>
                <w:szCs w:val="36"/>
              </w:rPr>
              <w:t>hCTGF</w:t>
            </w:r>
            <w:proofErr w:type="spellEnd"/>
            <w:r w:rsidRPr="00720346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4A1C42" w:rsidRDefault="005D31E6" w:rsidP="00053559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CTGF, CCN2, HCS24, IGFBP8, NOV2</w:t>
            </w:r>
          </w:p>
        </w:tc>
      </w:tr>
      <w:tr w:rsidR="004A1C42" w:rsidRPr="004A1C42" w:rsidTr="00917401">
        <w:trPr>
          <w:trHeight w:val="2356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4A1C42" w:rsidRDefault="005D31E6" w:rsidP="000C6510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>
              <w:rPr>
                <w:rFonts w:ascii="Arial" w:hAnsi="Arial" w:cs="Arial"/>
                <w:color w:val="auto"/>
                <w:sz w:val="20"/>
              </w:rPr>
              <w:t>CTGF</w:t>
            </w:r>
            <w:r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5D31E6">
              <w:rPr>
                <w:rFonts w:ascii="Arial" w:hAnsi="Arial" w:cs="Arial"/>
                <w:color w:val="auto"/>
                <w:sz w:val="20"/>
              </w:rPr>
              <w:t xml:space="preserve">is a </w:t>
            </w:r>
            <w:proofErr w:type="spellStart"/>
            <w:r w:rsidRPr="005D31E6">
              <w:rPr>
                <w:rFonts w:ascii="Arial" w:hAnsi="Arial" w:cs="Arial"/>
                <w:color w:val="auto"/>
                <w:sz w:val="20"/>
              </w:rPr>
              <w:t>matricellular</w:t>
            </w:r>
            <w:proofErr w:type="spellEnd"/>
            <w:r w:rsidRPr="005D31E6">
              <w:rPr>
                <w:rFonts w:ascii="Arial" w:hAnsi="Arial" w:cs="Arial"/>
                <w:color w:val="auto"/>
                <w:sz w:val="20"/>
              </w:rPr>
              <w:t xml:space="preserve"> protein of the CCN family of extracellular matrix-asso</w:t>
            </w:r>
            <w:r w:rsidR="000C6510">
              <w:rPr>
                <w:rFonts w:ascii="Arial" w:hAnsi="Arial" w:cs="Arial"/>
                <w:color w:val="auto"/>
                <w:sz w:val="20"/>
              </w:rPr>
              <w:t>ciated heparin-binding proteins</w:t>
            </w:r>
            <w:r w:rsidR="000C6510">
              <w:rPr>
                <w:rFonts w:ascii="Arial" w:hAnsi="Arial" w:cs="Arial" w:hint="eastAsia"/>
                <w:color w:val="auto"/>
                <w:sz w:val="20"/>
              </w:rPr>
              <w:t xml:space="preserve">. </w:t>
            </w:r>
            <w:r w:rsidRPr="005D31E6">
              <w:rPr>
                <w:rFonts w:ascii="Arial" w:hAnsi="Arial" w:cs="Arial"/>
                <w:color w:val="auto"/>
                <w:sz w:val="20"/>
              </w:rPr>
              <w:t xml:space="preserve">CTGF has important roles in many biological processes, including cell adhesion, migration, proliferation, angiogenesis, skeletal development, and tissue wound repair, and is critically involved in fibrotic disease and several </w:t>
            </w:r>
            <w:r>
              <w:rPr>
                <w:rFonts w:ascii="Arial" w:hAnsi="Arial" w:cs="Arial"/>
                <w:color w:val="auto"/>
                <w:sz w:val="20"/>
              </w:rPr>
              <w:t>forms of cancers.</w:t>
            </w:r>
            <w:r w:rsidR="000C6510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0C6510" w:rsidRPr="000C6510">
              <w:rPr>
                <w:rFonts w:ascii="Arial" w:hAnsi="Arial" w:cs="Arial"/>
                <w:color w:val="auto"/>
                <w:sz w:val="20"/>
              </w:rPr>
              <w:t>CTGF is also important for pancre</w:t>
            </w:r>
            <w:r w:rsidR="000C6510">
              <w:rPr>
                <w:rFonts w:ascii="Arial" w:hAnsi="Arial" w:cs="Arial"/>
                <w:color w:val="auto"/>
                <w:sz w:val="20"/>
              </w:rPr>
              <w:t>atic beta cell development,</w:t>
            </w:r>
            <w:r w:rsidR="000C6510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0C6510" w:rsidRPr="000C6510">
              <w:rPr>
                <w:rFonts w:ascii="Arial" w:hAnsi="Arial" w:cs="Arial"/>
                <w:color w:val="auto"/>
                <w:sz w:val="20"/>
              </w:rPr>
              <w:t>and is critical for normal ovarian foll</w:t>
            </w:r>
            <w:r w:rsidR="000C6510">
              <w:rPr>
                <w:rFonts w:ascii="Arial" w:hAnsi="Arial" w:cs="Arial"/>
                <w:color w:val="auto"/>
                <w:sz w:val="20"/>
              </w:rPr>
              <w:t>icle development and ovulation.</w:t>
            </w:r>
            <w:r w:rsidR="000C6510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0C6510" w:rsidRPr="000C6510">
              <w:rPr>
                <w:rFonts w:ascii="Arial" w:hAnsi="Arial" w:cs="Arial"/>
                <w:color w:val="auto"/>
                <w:sz w:val="20"/>
              </w:rPr>
              <w:t>CTGF is associated with wound healing and virtual</w:t>
            </w:r>
            <w:r w:rsidR="000C6510">
              <w:rPr>
                <w:rFonts w:ascii="Arial" w:hAnsi="Arial" w:cs="Arial"/>
                <w:color w:val="auto"/>
                <w:sz w:val="20"/>
              </w:rPr>
              <w:t>ly all fibrotic pathology.</w:t>
            </w:r>
            <w:r w:rsidR="000C6510" w:rsidRPr="000C6510">
              <w:rPr>
                <w:rFonts w:ascii="Arial" w:hAnsi="Arial" w:cs="Arial"/>
                <w:color w:val="auto"/>
                <w:sz w:val="20"/>
              </w:rPr>
              <w:t xml:space="preserve"> It is thought that CTGF can cooperate with TGF-β to induce sustained fibrosis and to exacerbate extracellular matrix production in association other fibrosis-inducing conditions.</w:t>
            </w:r>
            <w:r w:rsidRPr="005D31E6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4A1C42" w:rsidRPr="000655EE">
              <w:rPr>
                <w:rFonts w:ascii="Arial" w:hAnsi="Arial" w:cs="Arial"/>
                <w:color w:val="auto"/>
                <w:sz w:val="20"/>
              </w:rPr>
              <w:t>(Ref. From Wikipedia)</w:t>
            </w:r>
          </w:p>
        </w:tc>
      </w:tr>
      <w:tr w:rsidR="004A1C42" w:rsidRPr="004A1C42" w:rsidTr="00917401">
        <w:trPr>
          <w:trHeight w:val="29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F04C25" w:rsidP="0039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F04C25" w:rsidP="005D31E6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>
              <w:rPr>
                <w:rFonts w:ascii="Arial" w:hAnsi="Arial" w:cs="Arial"/>
                <w:color w:val="auto"/>
                <w:kern w:val="2"/>
                <w:sz w:val="20"/>
              </w:rPr>
              <w:t>N</w:t>
            </w:r>
            <w:r w:rsidRPr="00F04C25">
              <w:rPr>
                <w:rFonts w:ascii="Arial" w:hAnsi="Arial" w:cs="Arial"/>
                <w:color w:val="auto"/>
                <w:kern w:val="2"/>
                <w:sz w:val="20"/>
              </w:rPr>
              <w:t>M_</w:t>
            </w:r>
            <w:r w:rsidR="005D31E6">
              <w:rPr>
                <w:rFonts w:ascii="Arial" w:hAnsi="Arial" w:cs="Arial" w:hint="eastAsia"/>
                <w:color w:val="auto"/>
                <w:kern w:val="2"/>
                <w:sz w:val="20"/>
              </w:rPr>
              <w:t>001901.2</w:t>
            </w:r>
          </w:p>
        </w:tc>
      </w:tr>
      <w:tr w:rsidR="004A1C42" w:rsidRPr="004A1C42" w:rsidTr="000C6510">
        <w:trPr>
          <w:trHeight w:val="581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0A213C" w:rsidRPr="004A1C42" w:rsidRDefault="005D31E6" w:rsidP="007A45F6">
            <w:pPr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5D31E6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MGKKCIRTPKISKPIKFELSGCTSMKTYRAKFCGVCTDGRCCTPHRTTTLPVEFKCPDGEVMKKNMMFIKTCACHYNCPGDNDIFESLYYRKMYGDMA*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5D31E6" w:rsidP="005D31E6">
            <w:pPr>
              <w:ind w:leftChars="-54" w:left="-108" w:firstLineChars="54" w:firstLine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11.17</w:t>
            </w:r>
            <w:r w:rsidR="003A7BD5" w:rsidRPr="004A1C42">
              <w:rPr>
                <w:rFonts w:ascii="Arial" w:hAnsi="Arial" w:cs="Arial"/>
              </w:rPr>
              <w:t>kDa</w:t>
            </w:r>
            <w:r w:rsidR="006A254A" w:rsidRPr="004A1C4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 w:hint="eastAsia"/>
              </w:rPr>
              <w:t>98</w:t>
            </w:r>
            <w:r w:rsidR="006A254A" w:rsidRPr="004A1C42">
              <w:rPr>
                <w:rFonts w:ascii="Arial" w:hAnsi="Arial" w:cs="Arial"/>
              </w:rPr>
              <w:t xml:space="preserve"> aa)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sz w:val="18"/>
              </w:rPr>
            </w:pPr>
            <w:r w:rsidRPr="004A1C42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i/>
              </w:rPr>
            </w:pPr>
            <w:r w:rsidRPr="004A1C42">
              <w:rPr>
                <w:rFonts w:ascii="Arial" w:hAnsi="Arial" w:cs="Arial"/>
                <w:i/>
              </w:rPr>
              <w:t>E.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F70992" w:rsidP="000C651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</w:t>
            </w:r>
            <w:r w:rsidR="000C6510"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 w:hint="eastAsia"/>
              </w:rPr>
              <w:t>0</w:t>
            </w:r>
            <w:r w:rsidR="000C6510">
              <w:rPr>
                <w:rFonts w:ascii="Arial" w:hAnsi="Arial" w:cs="Arial" w:hint="eastAsia"/>
              </w:rPr>
              <w:t>28</w:t>
            </w:r>
            <w:r>
              <w:rPr>
                <w:rFonts w:ascii="Arial" w:hAnsi="Arial" w:cs="Arial" w:hint="eastAsia"/>
              </w:rPr>
              <w:t xml:space="preserve">-0010, </w:t>
            </w:r>
            <w:r w:rsidR="000C6510" w:rsidRPr="000C6510">
              <w:rPr>
                <w:rFonts w:ascii="Arial" w:hAnsi="Arial" w:cs="Arial"/>
              </w:rPr>
              <w:t>JW-H028</w:t>
            </w:r>
            <w:r>
              <w:rPr>
                <w:rFonts w:ascii="Arial" w:hAnsi="Arial" w:cs="Arial" w:hint="eastAsia"/>
              </w:rPr>
              <w:t xml:space="preserve">-0025, </w:t>
            </w:r>
            <w:r w:rsidR="000C6510" w:rsidRPr="000C6510">
              <w:rPr>
                <w:rFonts w:ascii="Arial" w:hAnsi="Arial" w:cs="Arial"/>
              </w:rPr>
              <w:t>JW-H028</w:t>
            </w:r>
            <w:r w:rsidR="000C6510"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 xml:space="preserve">0100, </w:t>
            </w:r>
            <w:r w:rsidR="000C6510">
              <w:rPr>
                <w:rFonts w:ascii="Arial" w:hAnsi="Arial" w:cs="Arial" w:hint="eastAsia"/>
              </w:rPr>
              <w:t>JW-H028</w:t>
            </w:r>
            <w:r>
              <w:rPr>
                <w:rFonts w:ascii="Arial" w:hAnsi="Arial" w:cs="Arial" w:hint="eastAsia"/>
              </w:rPr>
              <w:t xml:space="preserve">-0250, </w:t>
            </w:r>
            <w:r w:rsidR="000C6510">
              <w:rPr>
                <w:rFonts w:ascii="Arial" w:hAnsi="Arial" w:cs="Arial" w:hint="eastAsia"/>
              </w:rPr>
              <w:t>JW-H028</w:t>
            </w:r>
            <w:r>
              <w:rPr>
                <w:rFonts w:ascii="Arial" w:hAnsi="Arial" w:cs="Arial" w:hint="eastAsia"/>
              </w:rPr>
              <w:t xml:space="preserve">-0500, </w:t>
            </w:r>
            <w:r w:rsidR="000C6510">
              <w:rPr>
                <w:rFonts w:ascii="Arial" w:hAnsi="Arial" w:cs="Arial" w:hint="eastAsia"/>
              </w:rPr>
              <w:t>JW-H028</w:t>
            </w:r>
            <w:r>
              <w:rPr>
                <w:rFonts w:ascii="Arial" w:hAnsi="Arial" w:cs="Arial" w:hint="eastAsia"/>
              </w:rPr>
              <w:t>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Should be at ≤ -70 </w:t>
            </w:r>
            <w:r w:rsidRPr="004A1C42">
              <w:rPr>
                <w:rFonts w:ascii="Arial" w:hAnsi="Arial" w:cs="Arial" w:hint="eastAsia"/>
              </w:rPr>
              <w:t>℃</w:t>
            </w:r>
            <w:r w:rsidRPr="004A1C42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C92FCE" w:rsidRDefault="00291EC8" w:rsidP="005D31E6">
            <w:pPr>
              <w:rPr>
                <w:rFonts w:ascii="Arial" w:hAnsi="Arial" w:cs="Arial"/>
                <w:b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 xml:space="preserve">Human, </w:t>
            </w:r>
            <w:r w:rsidR="00F04C25">
              <w:rPr>
                <w:rFonts w:ascii="Verdana" w:hAnsi="Verdana"/>
                <w:color w:val="000000"/>
                <w:sz w:val="18"/>
                <w:szCs w:val="18"/>
              </w:rPr>
              <w:t>M</w:t>
            </w:r>
            <w:r w:rsidR="005D31E6">
              <w:rPr>
                <w:rFonts w:ascii="Verdana" w:hAnsi="Verdana" w:hint="eastAsia"/>
                <w:color w:val="000000"/>
                <w:sz w:val="18"/>
                <w:szCs w:val="18"/>
              </w:rPr>
              <w:t>ouse, Rat, Chicken</w:t>
            </w:r>
          </w:p>
        </w:tc>
      </w:tr>
    </w:tbl>
    <w:p w:rsidR="0027046E" w:rsidRPr="00396282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112"/>
        <w:gridCol w:w="255"/>
        <w:gridCol w:w="113"/>
        <w:gridCol w:w="3397"/>
        <w:gridCol w:w="2994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CF4DAF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  <w:bookmarkStart w:id="0" w:name="_GoBack"/>
            <w:bookmarkEnd w:id="0"/>
          </w:p>
        </w:tc>
      </w:tr>
      <w:tr w:rsidR="004A1C42" w:rsidRPr="004A1C42" w:rsidTr="003A7BD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0C3892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0C3892">
              <w:rPr>
                <w:rFonts w:ascii="Arial" w:hAnsi="Arial" w:cs="Arial"/>
              </w:rPr>
              <w:t>5</w:t>
            </w:r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RP-HPLC and SDS-PAGE</w:t>
            </w:r>
          </w:p>
        </w:tc>
      </w:tr>
      <w:tr w:rsidR="004A1C42" w:rsidRPr="004A1C42" w:rsidTr="00C15146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3D1D55" w:rsidP="00290703">
            <w:pPr>
              <w:ind w:leftChars="46" w:left="92"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83738" cy="1219442"/>
                  <wp:effectExtent l="0" t="0" r="6985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GF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42" cy="122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8B1C6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D837E2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C15146" w:rsidRPr="004A1C42" w:rsidRDefault="008B1C65" w:rsidP="001D0BA5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by </w:t>
            </w:r>
            <w:r w:rsidR="001626BD" w:rsidRPr="004A1C42">
              <w:rPr>
                <w:rFonts w:ascii="Arial" w:hAnsi="Arial" w:cs="Arial"/>
              </w:rPr>
              <w:t xml:space="preserve">proliferation of </w:t>
            </w:r>
            <w:r w:rsidR="003D1D55">
              <w:rPr>
                <w:rFonts w:ascii="Arial" w:hAnsi="Arial" w:cs="Arial" w:hint="eastAsia"/>
              </w:rPr>
              <w:t xml:space="preserve">HUVEC </w:t>
            </w:r>
            <w:r w:rsidR="001626BD" w:rsidRPr="004A1C42">
              <w:rPr>
                <w:rFonts w:ascii="Arial" w:hAnsi="Arial" w:cs="Arial"/>
              </w:rPr>
              <w:t>indicator cells</w:t>
            </w:r>
            <w:r w:rsidR="003D1D55">
              <w:rPr>
                <w:rFonts w:ascii="Arial" w:hAnsi="Arial" w:cs="Arial" w:hint="eastAsia"/>
              </w:rPr>
              <w:t xml:space="preserve">. </w:t>
            </w:r>
          </w:p>
          <w:p w:rsidR="008B1C65" w:rsidRPr="004A1C42" w:rsidRDefault="003D1D55" w:rsidP="00F40649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ED50 is 1.0 </w:t>
            </w:r>
            <w:r w:rsidR="00F40649">
              <w:rPr>
                <w:rFonts w:ascii="Arial" w:hAnsi="Arial" w:cs="Arial"/>
              </w:rPr>
              <w:t>~</w:t>
            </w:r>
            <w:r>
              <w:rPr>
                <w:rFonts w:ascii="Arial" w:hAnsi="Arial" w:cs="Arial"/>
              </w:rPr>
              <w:t xml:space="preserve"> 2.</w:t>
            </w:r>
            <w:r>
              <w:rPr>
                <w:rFonts w:ascii="Arial" w:hAnsi="Arial" w:cs="Arial" w:hint="eastAsia"/>
              </w:rPr>
              <w:t>0</w:t>
            </w:r>
            <w:r w:rsidR="00446472" w:rsidRPr="004A1C4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/>
              </w:rPr>
              <w:t>/ml</w:t>
            </w:r>
            <w:r>
              <w:rPr>
                <w:rFonts w:ascii="Arial" w:hAnsi="Arial" w:cs="Arial" w:hint="eastAsia"/>
              </w:rPr>
              <w:t>.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C15146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3D1D55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3D1D55">
              <w:rPr>
                <w:rFonts w:ascii="Arial" w:hAnsi="Arial" w:cs="Arial" w:hint="eastAsia"/>
              </w:rPr>
              <w:t>0.2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1D0BA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3D1D55" w:rsidP="00291EC8">
            <w:pPr>
              <w:ind w:leftChars="-54" w:left="-108"/>
              <w:rPr>
                <w:rFonts w:ascii="Arial" w:hAnsi="Arial" w:cs="Arial"/>
              </w:rPr>
            </w:pPr>
            <w:r w:rsidRPr="003D1D55">
              <w:rPr>
                <w:rFonts w:ascii="Arial" w:hAnsi="Arial" w:cs="Arial"/>
              </w:rPr>
              <w:t>50mM Sodium citrate-citric acid, 5% Glycerol (pH 4.5)</w:t>
            </w:r>
            <w:r>
              <w:rPr>
                <w:rFonts w:ascii="Arial" w:hAnsi="Arial" w:cs="Arial" w:hint="eastAsia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D837E2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D837E2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31" w:rsidRDefault="003B7D31" w:rsidP="00715290">
      <w:r>
        <w:separator/>
      </w:r>
    </w:p>
  </w:endnote>
  <w:endnote w:type="continuationSeparator" w:id="0">
    <w:p w:rsidR="003B7D31" w:rsidRDefault="003B7D31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31" w:rsidRDefault="003B7D31" w:rsidP="00715290">
      <w:r>
        <w:separator/>
      </w:r>
    </w:p>
  </w:footnote>
  <w:footnote w:type="continuationSeparator" w:id="0">
    <w:p w:rsidR="003B7D31" w:rsidRDefault="003B7D31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6F52"/>
    <w:rsid w:val="000272C6"/>
    <w:rsid w:val="00040823"/>
    <w:rsid w:val="000419CA"/>
    <w:rsid w:val="00044072"/>
    <w:rsid w:val="000508D6"/>
    <w:rsid w:val="00051586"/>
    <w:rsid w:val="00053559"/>
    <w:rsid w:val="000655EE"/>
    <w:rsid w:val="00073233"/>
    <w:rsid w:val="00080C33"/>
    <w:rsid w:val="00083C68"/>
    <w:rsid w:val="00092044"/>
    <w:rsid w:val="000946BC"/>
    <w:rsid w:val="00096A54"/>
    <w:rsid w:val="000A044A"/>
    <w:rsid w:val="000A1150"/>
    <w:rsid w:val="000A213C"/>
    <w:rsid w:val="000A4F8B"/>
    <w:rsid w:val="000A6C57"/>
    <w:rsid w:val="000C21FE"/>
    <w:rsid w:val="000C3892"/>
    <w:rsid w:val="000C6510"/>
    <w:rsid w:val="000E67CA"/>
    <w:rsid w:val="000F17A5"/>
    <w:rsid w:val="000F357D"/>
    <w:rsid w:val="00101AB3"/>
    <w:rsid w:val="00106E62"/>
    <w:rsid w:val="001158D8"/>
    <w:rsid w:val="00121E03"/>
    <w:rsid w:val="00121FC7"/>
    <w:rsid w:val="00144522"/>
    <w:rsid w:val="00150AB2"/>
    <w:rsid w:val="00151930"/>
    <w:rsid w:val="0015232B"/>
    <w:rsid w:val="001619CD"/>
    <w:rsid w:val="001626BD"/>
    <w:rsid w:val="001A04E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6E04"/>
    <w:rsid w:val="00210A00"/>
    <w:rsid w:val="00213F70"/>
    <w:rsid w:val="00215431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0703"/>
    <w:rsid w:val="00291EC8"/>
    <w:rsid w:val="002923BC"/>
    <w:rsid w:val="0029492E"/>
    <w:rsid w:val="002A6C52"/>
    <w:rsid w:val="002A7940"/>
    <w:rsid w:val="002B001D"/>
    <w:rsid w:val="002B169A"/>
    <w:rsid w:val="002B27EA"/>
    <w:rsid w:val="002C0B75"/>
    <w:rsid w:val="002C1832"/>
    <w:rsid w:val="002C5EA2"/>
    <w:rsid w:val="002D04B4"/>
    <w:rsid w:val="003160BF"/>
    <w:rsid w:val="003222BE"/>
    <w:rsid w:val="00322B0B"/>
    <w:rsid w:val="00330C86"/>
    <w:rsid w:val="003356C1"/>
    <w:rsid w:val="00352C62"/>
    <w:rsid w:val="0036347B"/>
    <w:rsid w:val="003751DB"/>
    <w:rsid w:val="00385748"/>
    <w:rsid w:val="00385F75"/>
    <w:rsid w:val="00386392"/>
    <w:rsid w:val="00396282"/>
    <w:rsid w:val="003A7BD5"/>
    <w:rsid w:val="003B17CA"/>
    <w:rsid w:val="003B7D31"/>
    <w:rsid w:val="003C4C83"/>
    <w:rsid w:val="003C6184"/>
    <w:rsid w:val="003C6198"/>
    <w:rsid w:val="003C689F"/>
    <w:rsid w:val="003D1141"/>
    <w:rsid w:val="003D1D55"/>
    <w:rsid w:val="003F19D4"/>
    <w:rsid w:val="00415531"/>
    <w:rsid w:val="00420A47"/>
    <w:rsid w:val="00430C58"/>
    <w:rsid w:val="00434E96"/>
    <w:rsid w:val="004359DF"/>
    <w:rsid w:val="00441FE6"/>
    <w:rsid w:val="00445FEC"/>
    <w:rsid w:val="00446472"/>
    <w:rsid w:val="00471653"/>
    <w:rsid w:val="0048498B"/>
    <w:rsid w:val="00490202"/>
    <w:rsid w:val="00494F4A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55C3"/>
    <w:rsid w:val="00555F5E"/>
    <w:rsid w:val="00561AD8"/>
    <w:rsid w:val="00576AAF"/>
    <w:rsid w:val="005829CD"/>
    <w:rsid w:val="00595504"/>
    <w:rsid w:val="005B6E6B"/>
    <w:rsid w:val="005C696E"/>
    <w:rsid w:val="005D31E6"/>
    <w:rsid w:val="005D4031"/>
    <w:rsid w:val="005D56CB"/>
    <w:rsid w:val="005E1697"/>
    <w:rsid w:val="005E3205"/>
    <w:rsid w:val="005E50FB"/>
    <w:rsid w:val="005E6135"/>
    <w:rsid w:val="005E71D5"/>
    <w:rsid w:val="0060148F"/>
    <w:rsid w:val="0060310F"/>
    <w:rsid w:val="00611A69"/>
    <w:rsid w:val="00620005"/>
    <w:rsid w:val="00620AB5"/>
    <w:rsid w:val="00646F03"/>
    <w:rsid w:val="006562A9"/>
    <w:rsid w:val="006572FE"/>
    <w:rsid w:val="0067491E"/>
    <w:rsid w:val="00675AD7"/>
    <w:rsid w:val="00676EF9"/>
    <w:rsid w:val="00691168"/>
    <w:rsid w:val="0069767D"/>
    <w:rsid w:val="006A254A"/>
    <w:rsid w:val="006A5246"/>
    <w:rsid w:val="006B3567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846A7"/>
    <w:rsid w:val="0078602B"/>
    <w:rsid w:val="00796958"/>
    <w:rsid w:val="007A14F2"/>
    <w:rsid w:val="007A236F"/>
    <w:rsid w:val="007A3BED"/>
    <w:rsid w:val="007A45F6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94B"/>
    <w:rsid w:val="008101B9"/>
    <w:rsid w:val="0081251B"/>
    <w:rsid w:val="008125A3"/>
    <w:rsid w:val="00812F2F"/>
    <w:rsid w:val="00816BCC"/>
    <w:rsid w:val="00817291"/>
    <w:rsid w:val="00823EED"/>
    <w:rsid w:val="00832E2E"/>
    <w:rsid w:val="00832F96"/>
    <w:rsid w:val="008417F2"/>
    <w:rsid w:val="0084188A"/>
    <w:rsid w:val="008606E8"/>
    <w:rsid w:val="00861960"/>
    <w:rsid w:val="00866153"/>
    <w:rsid w:val="008A3E3C"/>
    <w:rsid w:val="008A71EF"/>
    <w:rsid w:val="008B1C65"/>
    <w:rsid w:val="008B4848"/>
    <w:rsid w:val="008C3A10"/>
    <w:rsid w:val="008D08DE"/>
    <w:rsid w:val="008D7226"/>
    <w:rsid w:val="008D740A"/>
    <w:rsid w:val="008D782B"/>
    <w:rsid w:val="008E7FCB"/>
    <w:rsid w:val="0090007E"/>
    <w:rsid w:val="00900BE0"/>
    <w:rsid w:val="00917401"/>
    <w:rsid w:val="00930862"/>
    <w:rsid w:val="0094170E"/>
    <w:rsid w:val="009417D5"/>
    <w:rsid w:val="009659DB"/>
    <w:rsid w:val="00967520"/>
    <w:rsid w:val="009727E8"/>
    <w:rsid w:val="009A039E"/>
    <w:rsid w:val="009A152D"/>
    <w:rsid w:val="009A3291"/>
    <w:rsid w:val="009A3FEE"/>
    <w:rsid w:val="009B6C0E"/>
    <w:rsid w:val="009E5E2A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6B9A"/>
    <w:rsid w:val="00A875EE"/>
    <w:rsid w:val="00A87843"/>
    <w:rsid w:val="00AA4029"/>
    <w:rsid w:val="00AA703E"/>
    <w:rsid w:val="00AB79D5"/>
    <w:rsid w:val="00AE24FE"/>
    <w:rsid w:val="00AE574C"/>
    <w:rsid w:val="00AF270E"/>
    <w:rsid w:val="00AF27F0"/>
    <w:rsid w:val="00AF59B0"/>
    <w:rsid w:val="00B00BB6"/>
    <w:rsid w:val="00B00E5F"/>
    <w:rsid w:val="00B02B79"/>
    <w:rsid w:val="00B0363B"/>
    <w:rsid w:val="00B10EAE"/>
    <w:rsid w:val="00B13DDE"/>
    <w:rsid w:val="00B2385A"/>
    <w:rsid w:val="00B24639"/>
    <w:rsid w:val="00B30C19"/>
    <w:rsid w:val="00B35085"/>
    <w:rsid w:val="00B51557"/>
    <w:rsid w:val="00B552E6"/>
    <w:rsid w:val="00B56492"/>
    <w:rsid w:val="00B66DE6"/>
    <w:rsid w:val="00B752E6"/>
    <w:rsid w:val="00B815BD"/>
    <w:rsid w:val="00B90333"/>
    <w:rsid w:val="00B91DDB"/>
    <w:rsid w:val="00B921AE"/>
    <w:rsid w:val="00B948AA"/>
    <w:rsid w:val="00B961B7"/>
    <w:rsid w:val="00BA0EC8"/>
    <w:rsid w:val="00BB2E85"/>
    <w:rsid w:val="00BC0F08"/>
    <w:rsid w:val="00BC41B7"/>
    <w:rsid w:val="00BD03AA"/>
    <w:rsid w:val="00BD3DAC"/>
    <w:rsid w:val="00BE05F9"/>
    <w:rsid w:val="00BF0A8F"/>
    <w:rsid w:val="00BF672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7903"/>
    <w:rsid w:val="00C52AAD"/>
    <w:rsid w:val="00C55C8B"/>
    <w:rsid w:val="00C62CFF"/>
    <w:rsid w:val="00C7202F"/>
    <w:rsid w:val="00C935E5"/>
    <w:rsid w:val="00CB1859"/>
    <w:rsid w:val="00CC0EF6"/>
    <w:rsid w:val="00CE57B5"/>
    <w:rsid w:val="00CF2E03"/>
    <w:rsid w:val="00CF4DAF"/>
    <w:rsid w:val="00D02CF1"/>
    <w:rsid w:val="00D03315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7AFC"/>
    <w:rsid w:val="00DF7BDD"/>
    <w:rsid w:val="00E032F1"/>
    <w:rsid w:val="00E0718F"/>
    <w:rsid w:val="00E07FF6"/>
    <w:rsid w:val="00E1424B"/>
    <w:rsid w:val="00E15024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4C25"/>
    <w:rsid w:val="00F063D4"/>
    <w:rsid w:val="00F06AE2"/>
    <w:rsid w:val="00F06CF3"/>
    <w:rsid w:val="00F244CF"/>
    <w:rsid w:val="00F40649"/>
    <w:rsid w:val="00F4759D"/>
    <w:rsid w:val="00F56976"/>
    <w:rsid w:val="00F63D0A"/>
    <w:rsid w:val="00F706F0"/>
    <w:rsid w:val="00F70992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86F"/>
    <w:rsid w:val="00FC2A6C"/>
    <w:rsid w:val="00FC419A"/>
    <w:rsid w:val="00FD2487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6277"/>
  <w15:docId w15:val="{28DFF54A-02AA-4782-833B-F452B79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41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41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2017-12-15T08:06:00Z</cp:lastPrinted>
  <dcterms:created xsi:type="dcterms:W3CDTF">2022-09-26T06:58:00Z</dcterms:created>
  <dcterms:modified xsi:type="dcterms:W3CDTF">2022-09-27T06:53:00Z</dcterms:modified>
</cp:coreProperties>
</file>